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862" w:rsidRDefault="00D32862" w:rsidP="00D32862">
      <w:pPr>
        <w:widowControl w:val="0"/>
        <w:rPr>
          <w:rFonts w:ascii="Arial" w:hAnsi="Arial" w:cs="Arial"/>
          <w:b/>
          <w:bCs/>
          <w:sz w:val="28"/>
          <w:szCs w:val="28"/>
          <w14:ligatures w14:val="none"/>
        </w:rPr>
      </w:pPr>
      <w:r>
        <w:rPr>
          <w:rFonts w:ascii="Arial" w:hAnsi="Arial" w:cs="Arial"/>
          <w:b/>
          <w:bCs/>
          <w:sz w:val="28"/>
          <w:szCs w:val="28"/>
          <w14:ligatures w14:val="none"/>
        </w:rPr>
        <w:t>Fortbildung:</w:t>
      </w:r>
    </w:p>
    <w:p w:rsidR="00D32862" w:rsidRPr="00D32862" w:rsidRDefault="00D32862" w:rsidP="00D32862">
      <w:pPr>
        <w:widowControl w:val="0"/>
        <w:rPr>
          <w:rFonts w:ascii="Arial" w:hAnsi="Arial" w:cs="Arial"/>
          <w:color w:val="FF0000"/>
          <w:sz w:val="24"/>
          <w:szCs w:val="24"/>
          <w14:ligatures w14:val="none"/>
        </w:rPr>
      </w:pPr>
      <w:r w:rsidRPr="00D32862">
        <w:rPr>
          <w:rFonts w:ascii="Arial" w:hAnsi="Arial" w:cs="Arial"/>
          <w:b/>
          <w:bCs/>
          <w:sz w:val="28"/>
          <w:szCs w:val="28"/>
          <w14:ligatures w14:val="none"/>
        </w:rPr>
        <w:t xml:space="preserve">BLUMEN </w:t>
      </w:r>
      <w:r w:rsidRPr="00D32862">
        <w:rPr>
          <w:rFonts w:ascii="Arial" w:hAnsi="Arial" w:cs="Arial"/>
          <w:b/>
          <w:bCs/>
          <w:caps/>
          <w:sz w:val="28"/>
          <w:szCs w:val="28"/>
          <w14:ligatures w14:val="none"/>
        </w:rPr>
        <w:t>in der Kirche:</w:t>
      </w:r>
      <w:r>
        <w:rPr>
          <w:rFonts w:ascii="Arial" w:hAnsi="Arial" w:cs="Arial"/>
          <w:b/>
          <w:bCs/>
          <w:caps/>
          <w:sz w:val="28"/>
          <w:szCs w:val="28"/>
          <w14:ligatures w14:val="none"/>
        </w:rPr>
        <w:t xml:space="preserve"> </w:t>
      </w:r>
      <w:r w:rsidRPr="00D32862">
        <w:rPr>
          <w:rFonts w:ascii="Arial" w:hAnsi="Arial" w:cs="Arial"/>
          <w:b/>
          <w:bCs/>
          <w:caps/>
          <w:sz w:val="28"/>
          <w:szCs w:val="28"/>
          <w14:ligatures w14:val="none"/>
        </w:rPr>
        <w:t>mehr als Deko</w:t>
      </w:r>
      <w:r w:rsidRPr="00D32862">
        <w:rPr>
          <w:rFonts w:ascii="Arial" w:hAnsi="Arial" w:cs="Arial"/>
          <w:b/>
          <w:bCs/>
          <w:sz w:val="28"/>
          <w:szCs w:val="28"/>
          <w14:ligatures w14:val="none"/>
        </w:rPr>
        <w:br/>
      </w:r>
      <w:r w:rsidRPr="00D32862">
        <w:rPr>
          <w:rFonts w:ascii="Arial" w:hAnsi="Arial" w:cs="Arial"/>
          <w:b/>
          <w:bCs/>
          <w:sz w:val="24"/>
          <w:szCs w:val="24"/>
          <w14:ligatures w14:val="none"/>
        </w:rPr>
        <w:t xml:space="preserve">Liturgische und floristische Zugänge </w:t>
      </w:r>
      <w:r w:rsidRPr="00D32862">
        <w:rPr>
          <w:rFonts w:ascii="Arial" w:hAnsi="Arial" w:cs="Arial"/>
          <w:b/>
          <w:bCs/>
          <w:sz w:val="24"/>
          <w:szCs w:val="24"/>
          <w14:ligatures w14:val="none"/>
        </w:rPr>
        <w:br/>
        <w:t>für Mesner*innen und „Blumenfrauen“</w:t>
      </w:r>
    </w:p>
    <w:p w:rsidR="00D32862" w:rsidRPr="00D32862" w:rsidRDefault="00D32862" w:rsidP="00D32862">
      <w:pPr>
        <w:widowControl w:val="0"/>
        <w:rPr>
          <w:rFonts w:ascii="Arial" w:hAnsi="Arial" w:cs="Arial"/>
          <w:sz w:val="24"/>
          <w:szCs w:val="24"/>
          <w14:ligatures w14:val="none"/>
        </w:rPr>
      </w:pPr>
      <w:r w:rsidRPr="00D32862">
        <w:rPr>
          <w:rFonts w:ascii="Arial" w:hAnsi="Arial" w:cs="Arial"/>
          <w:sz w:val="24"/>
          <w:szCs w:val="24"/>
          <w14:ligatures w14:val="none"/>
        </w:rPr>
        <w:t>Samstag, 23. Juni 2018, 14:30 - 17:30 Uhr</w:t>
      </w:r>
    </w:p>
    <w:p w:rsidR="00D32862" w:rsidRPr="00D32862" w:rsidRDefault="00D32862" w:rsidP="00D32862">
      <w:pPr>
        <w:widowControl w:val="0"/>
        <w:rPr>
          <w:rFonts w:ascii="Arial" w:hAnsi="Arial" w:cs="Arial"/>
          <w:sz w:val="24"/>
          <w:szCs w:val="24"/>
          <w14:ligatures w14:val="none"/>
        </w:rPr>
      </w:pPr>
      <w:r w:rsidRPr="00D32862">
        <w:rPr>
          <w:rFonts w:ascii="Arial" w:hAnsi="Arial" w:cs="Arial"/>
          <w:sz w:val="24"/>
          <w:szCs w:val="24"/>
          <w14:ligatures w14:val="none"/>
        </w:rPr>
        <w:t>Anton-Müller-Gemeindezentrum, Mühlacker</w:t>
      </w:r>
    </w:p>
    <w:p w:rsidR="00D32862" w:rsidRPr="00D32862" w:rsidRDefault="00D32862" w:rsidP="00D32862">
      <w:pPr>
        <w:widowControl w:val="0"/>
        <w:rPr>
          <w:rFonts w:ascii="Arial" w:hAnsi="Arial" w:cs="Arial"/>
          <w:sz w:val="24"/>
          <w:szCs w:val="24"/>
          <w14:ligatures w14:val="none"/>
        </w:rPr>
      </w:pPr>
      <w:r w:rsidRPr="00D32862">
        <w:rPr>
          <w:rFonts w:ascii="Arial" w:hAnsi="Arial" w:cs="Arial"/>
          <w:sz w:val="24"/>
          <w:szCs w:val="24"/>
          <w14:ligatures w14:val="none"/>
        </w:rPr>
        <w:t>Referenten:</w:t>
      </w:r>
      <w:r w:rsidRPr="00D32862">
        <w:rPr>
          <w:rFonts w:ascii="Arial" w:hAnsi="Arial" w:cs="Arial"/>
          <w:sz w:val="24"/>
          <w:szCs w:val="24"/>
          <w14:ligatures w14:val="none"/>
        </w:rPr>
        <w:tab/>
      </w:r>
      <w:r w:rsidRPr="00D32862">
        <w:rPr>
          <w:rFonts w:ascii="Arial" w:hAnsi="Arial" w:cs="Arial"/>
          <w:sz w:val="24"/>
          <w:szCs w:val="24"/>
          <w14:ligatures w14:val="none"/>
        </w:rPr>
        <w:br/>
        <w:t>Christoph Schmitt</w:t>
      </w:r>
      <w:r w:rsidRPr="00D32862">
        <w:rPr>
          <w:rFonts w:ascii="Arial" w:hAnsi="Arial" w:cs="Arial"/>
          <w:sz w:val="24"/>
          <w:szCs w:val="24"/>
          <w14:ligatures w14:val="none"/>
        </w:rPr>
        <w:br/>
      </w:r>
      <w:r w:rsidRPr="00D32862">
        <w:rPr>
          <w:rFonts w:ascii="Arial" w:hAnsi="Arial" w:cs="Arial"/>
          <w:sz w:val="24"/>
          <w:szCs w:val="24"/>
          <w14:ligatures w14:val="none"/>
        </w:rPr>
        <w:tab/>
        <w:t xml:space="preserve">Institut für Fort– und Weiterbildung, </w:t>
      </w:r>
      <w:r w:rsidRPr="00D32862">
        <w:rPr>
          <w:rFonts w:ascii="Arial" w:hAnsi="Arial" w:cs="Arial"/>
          <w:sz w:val="24"/>
          <w:szCs w:val="24"/>
          <w14:ligatures w14:val="none"/>
        </w:rPr>
        <w:br/>
      </w:r>
      <w:r w:rsidRPr="00D32862">
        <w:rPr>
          <w:rFonts w:ascii="Arial" w:hAnsi="Arial" w:cs="Arial"/>
          <w:sz w:val="24"/>
          <w:szCs w:val="24"/>
          <w14:ligatures w14:val="none"/>
        </w:rPr>
        <w:tab/>
        <w:t>Rottenburg</w:t>
      </w:r>
      <w:r w:rsidRPr="00D32862">
        <w:rPr>
          <w:rFonts w:ascii="Arial" w:hAnsi="Arial" w:cs="Arial"/>
          <w:sz w:val="24"/>
          <w:szCs w:val="24"/>
          <w14:ligatures w14:val="none"/>
        </w:rPr>
        <w:br/>
        <w:t xml:space="preserve">Frank </w:t>
      </w:r>
      <w:proofErr w:type="spellStart"/>
      <w:r w:rsidRPr="00D32862">
        <w:rPr>
          <w:rFonts w:ascii="Arial" w:hAnsi="Arial" w:cs="Arial"/>
          <w:sz w:val="24"/>
          <w:szCs w:val="24"/>
          <w14:ligatures w14:val="none"/>
        </w:rPr>
        <w:t>Tichlers</w:t>
      </w:r>
      <w:proofErr w:type="spellEnd"/>
      <w:r w:rsidRPr="00D32862">
        <w:rPr>
          <w:rFonts w:ascii="Arial" w:hAnsi="Arial" w:cs="Arial"/>
          <w:sz w:val="24"/>
          <w:szCs w:val="24"/>
          <w14:ligatures w14:val="none"/>
        </w:rPr>
        <w:br/>
      </w:r>
      <w:r w:rsidRPr="00D32862">
        <w:rPr>
          <w:rFonts w:ascii="Arial" w:hAnsi="Arial" w:cs="Arial"/>
          <w:sz w:val="24"/>
          <w:szCs w:val="24"/>
          <w14:ligatures w14:val="none"/>
        </w:rPr>
        <w:tab/>
        <w:t>Florist-Meister, Mühlacker</w:t>
      </w:r>
    </w:p>
    <w:p w:rsidR="00D32862" w:rsidRPr="00D32862" w:rsidRDefault="00D32862" w:rsidP="00D32862">
      <w:pPr>
        <w:widowControl w:val="0"/>
        <w:rPr>
          <w:rFonts w:ascii="Arial" w:hAnsi="Arial" w:cs="Arial"/>
          <w:sz w:val="24"/>
          <w:szCs w:val="24"/>
          <w14:ligatures w14:val="none"/>
        </w:rPr>
      </w:pPr>
      <w:r w:rsidRPr="00D32862">
        <w:rPr>
          <w:rFonts w:ascii="Arial" w:hAnsi="Arial" w:cs="Arial"/>
          <w:sz w:val="24"/>
          <w:szCs w:val="24"/>
          <w14:ligatures w14:val="none"/>
        </w:rPr>
        <w:t>Kosten: keine</w:t>
      </w:r>
    </w:p>
    <w:p w:rsidR="00D32862" w:rsidRPr="00D32862" w:rsidRDefault="00D32862" w:rsidP="00D32862">
      <w:pPr>
        <w:widowControl w:val="0"/>
        <w:rPr>
          <w:rFonts w:ascii="Arial" w:hAnsi="Arial" w:cs="Arial"/>
          <w:sz w:val="24"/>
          <w:szCs w:val="24"/>
          <w14:ligatures w14:val="none"/>
        </w:rPr>
      </w:pPr>
      <w:r w:rsidRPr="00D32862">
        <w:rPr>
          <w:rFonts w:ascii="Arial" w:hAnsi="Arial" w:cs="Arial"/>
          <w:sz w:val="24"/>
          <w:szCs w:val="24"/>
          <w14:ligatures w14:val="none"/>
        </w:rPr>
        <w:t>Anmeldung erforderlich</w:t>
      </w:r>
    </w:p>
    <w:p w:rsidR="00D32862" w:rsidRPr="00D32862" w:rsidRDefault="00D32862" w:rsidP="00D32862">
      <w:pPr>
        <w:widowControl w:val="0"/>
        <w:rPr>
          <w:rFonts w:ascii="Arial" w:hAnsi="Arial" w:cs="Arial"/>
          <w:sz w:val="24"/>
          <w:szCs w:val="24"/>
          <w14:ligatures w14:val="none"/>
        </w:rPr>
      </w:pPr>
    </w:p>
    <w:p w:rsidR="00D32862" w:rsidRDefault="00D32862" w:rsidP="00D32862">
      <w:pPr>
        <w:widowControl w:val="0"/>
        <w:rPr>
          <w:rFonts w:ascii="Arial" w:hAnsi="Arial" w:cs="Arial"/>
          <w:sz w:val="24"/>
          <w:szCs w:val="24"/>
          <w14:ligatures w14:val="none"/>
        </w:rPr>
      </w:pPr>
      <w:r w:rsidRPr="00D32862">
        <w:rPr>
          <w:rFonts w:ascii="Arial" w:hAnsi="Arial" w:cs="Arial"/>
          <w:sz w:val="24"/>
          <w:szCs w:val="24"/>
          <w14:ligatures w14:val="none"/>
        </w:rPr>
        <w:t xml:space="preserve">„Der Blumenschmuck sei immer maßvoll“, </w:t>
      </w:r>
      <w:r w:rsidRPr="00D32862">
        <w:rPr>
          <w:rFonts w:ascii="Arial" w:hAnsi="Arial" w:cs="Arial"/>
          <w:sz w:val="24"/>
          <w:szCs w:val="24"/>
          <w14:ligatures w14:val="none"/>
        </w:rPr>
        <w:br/>
        <w:t>heißt es in der Grundordnung des Römischen Messbuchs, denn er soll nicht nur schön aussehen, sondern die jeweilige Kirchenjahreszeit oder den jeweiligen Festinhalt unterstreichen. Wie ein maßvoller, schöner und angemessener Blumenschmuck aussehen kann, welche Rolle Blumen in der Liturgie spielen, werden wir an diesem Nachmittag erfahren.</w:t>
      </w:r>
    </w:p>
    <w:p w:rsidR="00D32862" w:rsidRDefault="00D32862" w:rsidP="00D32862">
      <w:pPr>
        <w:widowControl w:val="0"/>
        <w:rPr>
          <w:rFonts w:ascii="Arial" w:hAnsi="Arial" w:cs="Arial"/>
          <w:sz w:val="24"/>
          <w:szCs w:val="24"/>
          <w14:ligatures w14:val="none"/>
        </w:rPr>
      </w:pPr>
    </w:p>
    <w:p w:rsidR="00D32862" w:rsidRDefault="00D32862" w:rsidP="00D32862">
      <w:pPr>
        <w:widowControl w:val="0"/>
        <w:rPr>
          <w:rFonts w:ascii="Arial" w:hAnsi="Arial" w:cs="Arial"/>
          <w:sz w:val="24"/>
          <w:szCs w:val="24"/>
          <w14:ligatures w14:val="none"/>
        </w:rPr>
      </w:pPr>
      <w:r>
        <w:rPr>
          <w:rFonts w:ascii="Arial" w:hAnsi="Arial" w:cs="Arial"/>
          <w:sz w:val="24"/>
          <w:szCs w:val="24"/>
          <w14:ligatures w14:val="none"/>
        </w:rPr>
        <w:t>Dazugehörige Grafik:</w:t>
      </w:r>
    </w:p>
    <w:p w:rsidR="00D32862" w:rsidRPr="00D32862" w:rsidRDefault="00D32862" w:rsidP="00D32862">
      <w:pPr>
        <w:widowControl w:val="0"/>
        <w:rPr>
          <w:rFonts w:ascii="Arial" w:hAnsi="Arial" w:cs="Arial"/>
          <w:sz w:val="24"/>
          <w:szCs w:val="24"/>
          <w14:ligatures w14:val="none"/>
        </w:rPr>
      </w:pPr>
      <w:r w:rsidRPr="00D32862">
        <w:rPr>
          <w:rFonts w:ascii="Arial" w:hAnsi="Arial" w:cs="Arial"/>
          <w:sz w:val="24"/>
          <w:szCs w:val="24"/>
          <w14:ligatures w14:val="none"/>
        </w:rPr>
        <w:drawing>
          <wp:anchor distT="36576" distB="36576" distL="36576" distR="36576" simplePos="0" relativeHeight="251658240" behindDoc="1" locked="0" layoutInCell="1" allowOverlap="1">
            <wp:simplePos x="0" y="0"/>
            <wp:positionH relativeFrom="column">
              <wp:posOffset>-4445</wp:posOffset>
            </wp:positionH>
            <wp:positionV relativeFrom="paragraph">
              <wp:posOffset>35560</wp:posOffset>
            </wp:positionV>
            <wp:extent cx="2421314" cy="1600200"/>
            <wp:effectExtent l="0" t="0" r="0" b="0"/>
            <wp:wrapTight wrapText="bothSides">
              <wp:wrapPolygon edited="0">
                <wp:start x="0" y="0"/>
                <wp:lineTo x="0" y="21343"/>
                <wp:lineTo x="21413" y="21343"/>
                <wp:lineTo x="21413" y="0"/>
                <wp:lineTo x="0" y="0"/>
              </wp:wrapPolygon>
            </wp:wrapTight>
            <wp:docPr id="1" name="Grafik 1" descr="bluetenblaetter_by_peter_weidemann_pfarrbrief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tenblaetter_by_peter_weidemann_pfarrbriefservi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21314" cy="1600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32862" w:rsidRPr="00D32862" w:rsidRDefault="00D32862" w:rsidP="00D32862">
      <w:pPr>
        <w:widowControl w:val="0"/>
        <w:rPr>
          <w:rFonts w:ascii="Arial" w:hAnsi="Arial" w:cs="Arial"/>
          <w:sz w:val="24"/>
          <w:szCs w:val="24"/>
          <w14:ligatures w14:val="none"/>
        </w:rPr>
      </w:pPr>
      <w:r w:rsidRPr="00D32862">
        <w:rPr>
          <w:rFonts w:ascii="Arial" w:hAnsi="Arial" w:cs="Arial"/>
          <w:sz w:val="24"/>
          <w:szCs w:val="24"/>
          <w14:ligatures w14:val="none"/>
        </w:rPr>
        <w:t> </w:t>
      </w:r>
      <w:bookmarkStart w:id="0" w:name="_GoBack"/>
      <w:bookmarkEnd w:id="0"/>
    </w:p>
    <w:p w:rsidR="00A32BD7" w:rsidRPr="00D32862" w:rsidRDefault="00D32862">
      <w:pPr>
        <w:rPr>
          <w:rFonts w:ascii="Arial" w:hAnsi="Arial" w:cs="Arial"/>
          <w:sz w:val="24"/>
          <w:szCs w:val="24"/>
          <w14:ligatures w14:val="none"/>
        </w:rPr>
      </w:pPr>
      <w:r>
        <w:rPr>
          <w:rFonts w:ascii="Arial" w:hAnsi="Arial" w:cs="Arial"/>
          <w:sz w:val="24"/>
          <w:szCs w:val="24"/>
          <w14:ligatures w14:val="none"/>
        </w:rPr>
        <w:tab/>
        <w:t>Bild: Peter Weidemann, Pfarrbriefservice.de</w:t>
      </w:r>
    </w:p>
    <w:sectPr w:rsidR="00A32BD7" w:rsidRPr="00D328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62"/>
    <w:rsid w:val="00A32BD7"/>
    <w:rsid w:val="00D328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6C6DE-53C7-413F-B459-F7FB39A7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2862"/>
    <w:pPr>
      <w:spacing w:after="120" w:line="285" w:lineRule="auto"/>
    </w:pPr>
    <w:rPr>
      <w:rFonts w:ascii="Constantia" w:eastAsia="Times New Roman" w:hAnsi="Constantia" w:cs="Times New Roman"/>
      <w:color w:val="000000"/>
      <w:kern w:val="28"/>
      <w:sz w:val="14"/>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45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708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Pastoralreferentin</dc:creator>
  <cp:keywords/>
  <dc:description/>
  <cp:lastModifiedBy>Pastoralreferentin</cp:lastModifiedBy>
  <cp:revision>1</cp:revision>
  <dcterms:created xsi:type="dcterms:W3CDTF">2018-03-06T12:54:00Z</dcterms:created>
  <dcterms:modified xsi:type="dcterms:W3CDTF">2018-03-06T12:57:00Z</dcterms:modified>
</cp:coreProperties>
</file>